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AC364" w14:textId="77777777" w:rsidR="00FA2412" w:rsidRPr="00FA2412" w:rsidRDefault="00FA2412" w:rsidP="00FA2412"/>
    <w:p w14:paraId="78A3CEEA" w14:textId="470CE0F1" w:rsidR="00FA2412" w:rsidRDefault="00FA2412" w:rsidP="00FA2412">
      <w:pPr>
        <w:jc w:val="center"/>
        <w:rPr>
          <w:b/>
          <w:bCs/>
        </w:rPr>
      </w:pPr>
      <w:r>
        <w:rPr>
          <w:b/>
          <w:bCs/>
        </w:rPr>
        <w:t>ORDINE DEL GIORNO</w:t>
      </w:r>
    </w:p>
    <w:p w14:paraId="2DE86806" w14:textId="70893147" w:rsidR="00FA2412" w:rsidRDefault="00FA2412" w:rsidP="00FA2412">
      <w:pPr>
        <w:jc w:val="center"/>
        <w:rPr>
          <w:b/>
          <w:bCs/>
        </w:rPr>
      </w:pPr>
      <w:r>
        <w:rPr>
          <w:b/>
          <w:bCs/>
        </w:rPr>
        <w:t>Mantenimento dell’attenzione del Governo sulle Aree Interne</w:t>
      </w:r>
    </w:p>
    <w:p w14:paraId="64F02DCC" w14:textId="77777777" w:rsidR="00FA2412" w:rsidRDefault="00FA2412" w:rsidP="00FA2412">
      <w:pPr>
        <w:jc w:val="center"/>
        <w:rPr>
          <w:b/>
          <w:bCs/>
        </w:rPr>
      </w:pPr>
    </w:p>
    <w:p w14:paraId="79F69B1B" w14:textId="5A346A40" w:rsidR="00FA2412" w:rsidRPr="00FA2412" w:rsidRDefault="00FA2412" w:rsidP="00FA2412">
      <w:pPr>
        <w:jc w:val="center"/>
        <w:rPr>
          <w:b/>
          <w:bCs/>
        </w:rPr>
      </w:pPr>
      <w:r w:rsidRPr="00FA2412">
        <w:rPr>
          <w:b/>
          <w:bCs/>
        </w:rPr>
        <w:t>Premesso che</w:t>
      </w:r>
    </w:p>
    <w:p w14:paraId="04A95B77" w14:textId="77777777" w:rsidR="00FA2412" w:rsidRPr="00FA2412" w:rsidRDefault="00FA2412" w:rsidP="00FA2412">
      <w:r w:rsidRPr="00FA2412">
        <w:t xml:space="preserve">La Repubblica Italiana, il nostro Paese, consta di 7896 comuni di cui circa il 70% del totale presentano una popolazione inferiore a 5000 abitanti pari a 5521 comuni stimati alla fine del 2023 da censimento ISTAT; </w:t>
      </w:r>
    </w:p>
    <w:p w14:paraId="7026930F" w14:textId="77777777" w:rsidR="00FA2412" w:rsidRPr="00FA2412" w:rsidRDefault="00FA2412" w:rsidP="00FA2412">
      <w:r w:rsidRPr="00FA2412">
        <w:t xml:space="preserve">La complessità e varietà dei comuni di piccole e piccolissime dimensioni nel nostro Paese non è dato da ragioni meramente burocratiche o politiche, semmai a contrario, è frutto del processo storico e dell’evoluzione sociopolitica preunitaria e postunitaria, un processo che è anche ricchezza culturale, artistica, religiosa, etnica. </w:t>
      </w:r>
    </w:p>
    <w:p w14:paraId="12E49472" w14:textId="77777777" w:rsidR="00FA2412" w:rsidRPr="00FA2412" w:rsidRDefault="00FA2412" w:rsidP="00FA2412">
      <w:r w:rsidRPr="00FA2412">
        <w:t xml:space="preserve">Tale ricchezza affonda le proprie radici in epoche antecedenti lo stesso Impero Romano, passa per la sua massima espressione nel basso medioevo e nell’epoca moderna, attraversa epoche di fioritura artistica, religiosa, architettonica, ambientale, di esodi di popolazioni che hanno attraversato e si sono stanziate nelle nostre comunità o ne hanno costituite di nuove contribuendo a creare specifiche identità e ad arricchire il nostro patrimonio in Sicilia come in Puglia, in Lombardia e Veneto come in Campania o in Liguria; </w:t>
      </w:r>
    </w:p>
    <w:p w14:paraId="661FA5C4" w14:textId="77777777" w:rsidR="00FA2412" w:rsidRPr="00FA2412" w:rsidRDefault="00FA2412" w:rsidP="00FA2412">
      <w:r w:rsidRPr="00FA2412">
        <w:t xml:space="preserve">Poiché la valorizzazione delle peculiarità territoriali e la sussidiarietà sono principi fondanti non solo la nostra Costituzione democratica ma anche quella Europea, proprio l’UE ha avviato nel corso degli ultimi decenni politiche strutturali volte a tutelare e valorizzare le aree interne dei Paesi membri al fine di salvarle dallo spopolamento e mettendo in campo programmi finanziati con fondi strutturali volti a garantire in queste aree i servizi base in materia sanitaria, didattica, mobilità, giustizia; </w:t>
      </w:r>
    </w:p>
    <w:p w14:paraId="67272D90" w14:textId="77777777" w:rsidR="00FA2412" w:rsidRPr="00FA2412" w:rsidRDefault="00FA2412" w:rsidP="00FA2412">
      <w:r w:rsidRPr="00FA2412">
        <w:t>In Italia, quasi 4.000 comuni (ovvero circa la metà del totale) ricadono nelle aree interne. Questi territori coprono il 58,8% della superficie nazionale, e sono abitati da circa 13,4 milioni di persone (22,7% della popolazione residente nel 2021): dati non dissimili rispetto alla precedente ripartizione. La maggior parte degli abitanti delle aree interne (8 milioni di persone) vive nei comuni intermedi, distanti dai 27,7 ai 40,9 minuti dal polo più vicino. Oltre 4,6 milioni abitano in comuni periferici, mentre altre 720mila persone vivono in aree ultraperiferiche (</w:t>
      </w:r>
      <w:proofErr w:type="gramStart"/>
      <w:r w:rsidRPr="00FA2412">
        <w:t>cioè</w:t>
      </w:r>
      <w:proofErr w:type="gramEnd"/>
      <w:r w:rsidRPr="00FA2412">
        <w:t xml:space="preserve"> comuni, perlopiù montani o isolani, distanti almeno 67 minuti dal centro più vicino). </w:t>
      </w:r>
    </w:p>
    <w:p w14:paraId="650BD396" w14:textId="77777777" w:rsidR="00FA2412" w:rsidRPr="00FA2412" w:rsidRDefault="00FA2412" w:rsidP="00FA2412">
      <w:r w:rsidRPr="00FA2412">
        <w:t xml:space="preserve">La moltitudine di tradizioni storiche, artistiche, sociali, naturalistiche, culturali ed etnologiche contribuisce a mantenere vivo nel nostro Paese, molto più che in altri, quella ricchezza identitaria che fa dell’Italia un caso quasi unico, assimilabile in Europa soltanto a Stati come la Spagna, la Svizzera o la Germania dove, infatti, i processi di fusione e accorpamento hanno percentuali molto basse e comunque solo in minima parte ovviano al necessario interessamento delle politiche di tutela delle “aree interne”; </w:t>
      </w:r>
    </w:p>
    <w:p w14:paraId="11C11F60" w14:textId="6D19E038" w:rsidR="00FA2412" w:rsidRPr="00FA2412" w:rsidRDefault="00FA2412" w:rsidP="00FA2412">
      <w:pPr>
        <w:jc w:val="center"/>
        <w:rPr>
          <w:b/>
          <w:bCs/>
        </w:rPr>
      </w:pPr>
      <w:r w:rsidRPr="00FA2412">
        <w:rPr>
          <w:b/>
          <w:bCs/>
        </w:rPr>
        <w:t>Considerato che</w:t>
      </w:r>
    </w:p>
    <w:p w14:paraId="38DD5F59" w14:textId="77777777" w:rsidR="00FA2412" w:rsidRPr="00FA2412" w:rsidRDefault="00FA2412" w:rsidP="00FA2412">
      <w:r w:rsidRPr="00FA2412">
        <w:t xml:space="preserve">Anche l’accorpamento di piccoli e piccolissimi enti, dettato da ragioni di economicità e tagli lineari alla spesa pubblica, avviato alla fine dei primi anni 2000, impone una più approfondita rivisitazione e analisi, non potendo ridursi ad un dato superficiale e numerico e non può essere dettato da ragioni meramente burocratiche; </w:t>
      </w:r>
    </w:p>
    <w:p w14:paraId="1F9F9906" w14:textId="77777777" w:rsidR="00FA2412" w:rsidRPr="00FA2412" w:rsidRDefault="00FA2412" w:rsidP="00FA2412">
      <w:r w:rsidRPr="00FA2412">
        <w:lastRenderedPageBreak/>
        <w:t xml:space="preserve">Gli enormi appesantimenti burocratici e </w:t>
      </w:r>
      <w:proofErr w:type="spellStart"/>
      <w:r w:rsidRPr="00FA2412">
        <w:t>adempimentali</w:t>
      </w:r>
      <w:proofErr w:type="spellEnd"/>
      <w:r w:rsidRPr="00FA2412">
        <w:t xml:space="preserve"> degli ultimi anni, non accompagnati da reali effetti di efficientamento e razionalizzazione né di economie di scala di servizi ai cittadini ma forieri quasi esclusivamente di una maggiore difficoltà per i piccoli e piccolissimi comuni di adempiervi perché tarati sulle realtà ministeriali, duplicazioni o triplicazioni </w:t>
      </w:r>
      <w:proofErr w:type="spellStart"/>
      <w:r w:rsidRPr="00FA2412">
        <w:t>adempimentali</w:t>
      </w:r>
      <w:proofErr w:type="spellEnd"/>
      <w:r w:rsidRPr="00FA2412">
        <w:t xml:space="preserve">, in assenza di reali misure di digitalizzazione e riduzione a unità delle piattaforme in uso alle diverse “Autorità” preposte, si sono tradotti in maggiori costi ed esternalizzazioni, di fatto non necessarie; </w:t>
      </w:r>
    </w:p>
    <w:p w14:paraId="48BE3DCA" w14:textId="77777777" w:rsidR="00FA2412" w:rsidRPr="00FA2412" w:rsidRDefault="00FA2412" w:rsidP="00FA2412">
      <w:r w:rsidRPr="00FA2412">
        <w:t xml:space="preserve">L’esplosione </w:t>
      </w:r>
      <w:proofErr w:type="spellStart"/>
      <w:r w:rsidRPr="00FA2412">
        <w:t>adempimentale</w:t>
      </w:r>
      <w:proofErr w:type="spellEnd"/>
      <w:r w:rsidRPr="00FA2412">
        <w:t xml:space="preserve"> degli ultimi anni non può pertanto tradursi, in un’impropria quanto superficiale e irresponsabile, inversione logica, in una spinta verso l’accorpamento e l’abbandono dei piccoli e piccolissimi comuni e delle c.d. aree interne, imponendosi invece una revisione del sistema burocratico, tarato sulle realtà identitarie italiane che metta piccoli e piccolissimi comuni nelle condizioni di garantire quei servizi essenziali alle popolazioni locali, quali trasporto, istruzione, sanità e giustizia, i cui tagli si rivelano soluzioni miopi, antidemocratiche e altamente pericolose poiché rischiano di minare, nel corso di poche generazioni e a causa </w:t>
      </w:r>
    </w:p>
    <w:p w14:paraId="45555A94" w14:textId="77777777" w:rsidR="00FA2412" w:rsidRPr="00FA2412" w:rsidRDefault="00FA2412" w:rsidP="00FA2412">
      <w:r w:rsidRPr="00FA2412">
        <w:t xml:space="preserve">dello spopolamento delle stesse aree interne, quel patrimonio culturale, artistico, </w:t>
      </w:r>
      <w:proofErr w:type="spellStart"/>
      <w:r w:rsidRPr="00FA2412">
        <w:t>enograstronomico</w:t>
      </w:r>
      <w:proofErr w:type="spellEnd"/>
      <w:r w:rsidRPr="00FA2412">
        <w:t xml:space="preserve">, architettonico, ambientale di cui il nostro Paese è tra i più ricchi al mondo; </w:t>
      </w:r>
    </w:p>
    <w:p w14:paraId="7680C4B1" w14:textId="14BBC0E1" w:rsidR="00FA2412" w:rsidRPr="00FA2412" w:rsidRDefault="00FA2412" w:rsidP="00FA2412">
      <w:pPr>
        <w:jc w:val="center"/>
        <w:rPr>
          <w:b/>
          <w:bCs/>
        </w:rPr>
      </w:pPr>
      <w:r w:rsidRPr="00FA2412">
        <w:rPr>
          <w:b/>
          <w:bCs/>
        </w:rPr>
        <w:t>Evidenziato che</w:t>
      </w:r>
    </w:p>
    <w:p w14:paraId="4506ADD7" w14:textId="305F1218" w:rsidR="00FA2412" w:rsidRPr="00FA2412" w:rsidRDefault="00FA2412" w:rsidP="00FA2412">
      <w:pPr>
        <w:pStyle w:val="Paragrafoelenco"/>
        <w:numPr>
          <w:ilvl w:val="0"/>
          <w:numId w:val="1"/>
        </w:numPr>
      </w:pPr>
      <w:r w:rsidRPr="00FA2412">
        <w:t xml:space="preserve">Proprio per invertire il processo di marginalizzazione e spopolamento delle aree interne, dal 2013 l’Agenzia per la Coesione territoriale, a partire dal 2013, ha avviato la c.d. “Strategia nazionale per le aree interne” (SNAI), volta ad avviare politiche attive finalizzate al contrasto allo spopolamento delle aree rurali, quelle dei tratti alpini, appenninici, montani o isolani, dovuto alla progressiva riduzione di servizi base ma ricchi di risorse ambientali e culturali, in definitiva turistiche. </w:t>
      </w:r>
    </w:p>
    <w:p w14:paraId="2C47EE8B" w14:textId="0BEE6C28" w:rsidR="00FA2412" w:rsidRPr="00FA2412" w:rsidRDefault="00FA2412" w:rsidP="00FA2412">
      <w:pPr>
        <w:pStyle w:val="Paragrafoelenco"/>
        <w:numPr>
          <w:ilvl w:val="0"/>
          <w:numId w:val="1"/>
        </w:numPr>
      </w:pPr>
      <w:r w:rsidRPr="00FA2412">
        <w:t xml:space="preserve">Le aree interne italiane ricoprono circa il 58,8% del territorio, il 52% dei comuni e il 22,7% della popolazione nazionale; </w:t>
      </w:r>
    </w:p>
    <w:p w14:paraId="5E971160" w14:textId="6C183348" w:rsidR="00FA2412" w:rsidRPr="00FA2412" w:rsidRDefault="00FA2412" w:rsidP="00FA2412">
      <w:pPr>
        <w:pStyle w:val="Paragrafoelenco"/>
        <w:numPr>
          <w:ilvl w:val="0"/>
          <w:numId w:val="1"/>
        </w:numPr>
      </w:pPr>
      <w:r w:rsidRPr="00FA2412">
        <w:t xml:space="preserve">Dal 2023 l’Agenzia per la Coesione territoriale è stata soppressa giusto DPCM del 10.11.2023, trasferendo le relative funzioni al Dipartimento per le politiche di coesione e per il sud; </w:t>
      </w:r>
    </w:p>
    <w:p w14:paraId="648289A2" w14:textId="184A4515" w:rsidR="00FA2412" w:rsidRPr="00FA2412" w:rsidRDefault="00FA2412" w:rsidP="00FA2412">
      <w:pPr>
        <w:pStyle w:val="Paragrafoelenco"/>
        <w:numPr>
          <w:ilvl w:val="0"/>
          <w:numId w:val="1"/>
        </w:numPr>
      </w:pPr>
      <w:r w:rsidRPr="00FA2412">
        <w:t xml:space="preserve">La tutela delle aree interne è anche oggetto di importanti politiche comunitarie ed europee in cui l’UE mette a disposizione fondi strutturali e di investimento tra quelle europee e quelle cofinanziate che da programmazione 2021-27 ammontano a 75,3 miliardi; </w:t>
      </w:r>
    </w:p>
    <w:p w14:paraId="7EE6EC0E" w14:textId="77777777" w:rsidR="00FA2412" w:rsidRPr="00FA2412" w:rsidRDefault="00FA2412" w:rsidP="00FA2412"/>
    <w:p w14:paraId="7BFADDFA" w14:textId="01E32706" w:rsidR="00FA2412" w:rsidRPr="00FA2412" w:rsidRDefault="00FA2412" w:rsidP="00FA2412">
      <w:pPr>
        <w:jc w:val="center"/>
        <w:rPr>
          <w:b/>
          <w:bCs/>
        </w:rPr>
      </w:pPr>
      <w:r w:rsidRPr="00FA2412">
        <w:rPr>
          <w:b/>
          <w:bCs/>
        </w:rPr>
        <w:t>Appreso che</w:t>
      </w:r>
    </w:p>
    <w:p w14:paraId="6222BAA0" w14:textId="77777777" w:rsidR="00FA2412" w:rsidRPr="00FA2412" w:rsidRDefault="00FA2412" w:rsidP="00FA2412">
      <w:r w:rsidRPr="00FA2412">
        <w:t xml:space="preserve">L'accordo di partenariato 2014-2020 prevedeva l'individuazione di una serie di aree pilota in cui sperimentare la strategia attraverso l'attivazione di fondi pubblici, europei e da partenariati pubblico-privati. Successivamente il comitato tecnico per le aree interne ha individuato 72 aree pilota tenendo i considerazione le peculiarità dei territori e sulla base di parametri e indicatori, quali la situazione demografica, le condizioni sociali ed economiche, l'accessibilità ai servizi e le forme di governance dei comuni per il ciclo di Programmazione 2021-2027 mettendo </w:t>
      </w:r>
      <w:r w:rsidRPr="00FA2412">
        <w:rPr>
          <w:b/>
          <w:bCs/>
        </w:rPr>
        <w:t>a disposizione dell’Italia 75,3 miliardi di euro di Fondi Strutturali e di Investimento</w:t>
      </w:r>
      <w:r w:rsidRPr="00FA2412">
        <w:t xml:space="preserve">, tra risorse europee e cofinanziamento nazionale; </w:t>
      </w:r>
    </w:p>
    <w:p w14:paraId="695E813C" w14:textId="77777777" w:rsidR="00FA2412" w:rsidRPr="00FA2412" w:rsidRDefault="00FA2412" w:rsidP="00FA2412">
      <w:r w:rsidRPr="00FA2412">
        <w:t xml:space="preserve">L’accordo di programmazione 2021-27 ha previsto invece 124 aree di progetto coinvolgenti 1904 comuni e ben 4.570.731 abitanti su una popolazione nazionale di circa 58 milioni di abitanti; </w:t>
      </w:r>
    </w:p>
    <w:p w14:paraId="6990D753" w14:textId="77777777" w:rsidR="00FA2412" w:rsidRPr="00FA2412" w:rsidRDefault="00FA2412" w:rsidP="00FA2412">
      <w:r w:rsidRPr="00FA2412">
        <w:t xml:space="preserve">Le risorse europee ammontano a 43,1 miliardi di euro, comprensive le quote desinate al </w:t>
      </w:r>
      <w:r w:rsidRPr="00FA2412">
        <w:rPr>
          <w:b/>
          <w:bCs/>
        </w:rPr>
        <w:t xml:space="preserve">Fondo per la Transizione Giusta </w:t>
      </w:r>
      <w:r w:rsidRPr="00FA2412">
        <w:t xml:space="preserve">(Just </w:t>
      </w:r>
      <w:proofErr w:type="spellStart"/>
      <w:r w:rsidRPr="00FA2412">
        <w:t>Transition</w:t>
      </w:r>
      <w:proofErr w:type="spellEnd"/>
      <w:r w:rsidRPr="00FA2412">
        <w:t xml:space="preserve"> Fund – JTF) e alla </w:t>
      </w:r>
      <w:r w:rsidRPr="00FA2412">
        <w:rPr>
          <w:b/>
          <w:bCs/>
        </w:rPr>
        <w:t xml:space="preserve">Cooperazione Territoriale Europea </w:t>
      </w:r>
      <w:r w:rsidRPr="00FA2412">
        <w:t xml:space="preserve">(CTE), mentre la quota parte spettante alle Regioni sfiora i 48 miliardi di euro; </w:t>
      </w:r>
    </w:p>
    <w:p w14:paraId="74A18702" w14:textId="77777777" w:rsidR="00FA2412" w:rsidRPr="00FA2412" w:rsidRDefault="00FA2412" w:rsidP="00FA2412">
      <w:r w:rsidRPr="00FA2412">
        <w:lastRenderedPageBreak/>
        <w:t xml:space="preserve">Nella programmazione corrente sono considerate “in transizione” non solo l’Abruzzo, che si conferma in questa categoria, ma anche Umbria e Marche (precedentemente tra quelle “più sviluppate”). Le regioni “meno sviluppate” sono quelle rimanenti del Mezzogiorno (Campania, Molise, Puglia, Basilicata, Calabria, Sicilia e Sardegna), mentre le “più sviluppate” comprendono quelle del Centro-Nord, con l’esclusione di Umbria e Marche. </w:t>
      </w:r>
    </w:p>
    <w:p w14:paraId="73C53B3A" w14:textId="77777777" w:rsidR="00FA2412" w:rsidRPr="00FA2412" w:rsidRDefault="00FA2412" w:rsidP="00FA2412">
      <w:r w:rsidRPr="00FA2412">
        <w:t xml:space="preserve">Se si esclude la quota riservata alla CTE, le risorse europee e nazionali dei Fondi strutturali si distribuiscono come segue tra le tre aree: </w:t>
      </w:r>
    </w:p>
    <w:p w14:paraId="707E28A9" w14:textId="2139CE93" w:rsidR="00FA2412" w:rsidRPr="00FA2412" w:rsidRDefault="00FA2412" w:rsidP="00FA2412">
      <w:pPr>
        <w:pStyle w:val="Paragrafoelenco"/>
        <w:numPr>
          <w:ilvl w:val="0"/>
          <w:numId w:val="3"/>
        </w:numPr>
      </w:pPr>
      <w:r w:rsidRPr="00FA2412">
        <w:t xml:space="preserve">regioni più sviluppate: 23,882 miliardi di euro; </w:t>
      </w:r>
    </w:p>
    <w:p w14:paraId="32EAE0B1" w14:textId="2BF59B8F" w:rsidR="00FA2412" w:rsidRPr="00FA2412" w:rsidRDefault="00FA2412" w:rsidP="00FA2412">
      <w:pPr>
        <w:pStyle w:val="Paragrafoelenco"/>
        <w:numPr>
          <w:ilvl w:val="0"/>
          <w:numId w:val="3"/>
        </w:numPr>
      </w:pPr>
      <w:r w:rsidRPr="00FA2412">
        <w:t xml:space="preserve">regioni in transizione: 3,612 miliardi di euro; </w:t>
      </w:r>
    </w:p>
    <w:p w14:paraId="77BAC588" w14:textId="13C4B5DA" w:rsidR="00FA2412" w:rsidRPr="00FA2412" w:rsidRDefault="00FA2412" w:rsidP="00FA2412">
      <w:pPr>
        <w:pStyle w:val="Paragrafoelenco"/>
        <w:numPr>
          <w:ilvl w:val="0"/>
          <w:numId w:val="3"/>
        </w:numPr>
      </w:pPr>
      <w:r w:rsidRPr="00FA2412">
        <w:t xml:space="preserve">regioni meno sviluppate: 46,575 miliardi di euro; </w:t>
      </w:r>
    </w:p>
    <w:p w14:paraId="5338ED70" w14:textId="1BD952C6" w:rsidR="00FA2412" w:rsidRPr="00FA2412" w:rsidRDefault="00FA2412" w:rsidP="00FA2412">
      <w:pPr>
        <w:jc w:val="center"/>
        <w:rPr>
          <w:b/>
          <w:bCs/>
        </w:rPr>
      </w:pPr>
      <w:r w:rsidRPr="00FA2412">
        <w:rPr>
          <w:b/>
          <w:bCs/>
        </w:rPr>
        <w:t xml:space="preserve">Appreso </w:t>
      </w:r>
      <w:proofErr w:type="spellStart"/>
      <w:r>
        <w:rPr>
          <w:b/>
          <w:bCs/>
        </w:rPr>
        <w:t>altresi</w:t>
      </w:r>
      <w:proofErr w:type="spellEnd"/>
      <w:r w:rsidRPr="00FA2412">
        <w:rPr>
          <w:b/>
          <w:bCs/>
        </w:rPr>
        <w:t xml:space="preserve"> che:</w:t>
      </w:r>
    </w:p>
    <w:p w14:paraId="49F9C56B" w14:textId="77777777" w:rsidR="00FA2412" w:rsidRPr="00FA2412" w:rsidRDefault="00FA2412" w:rsidP="00FA2412">
      <w:r w:rsidRPr="00FA2412">
        <w:t xml:space="preserve">Il Piano Strategico Nazionale delle Aree Interne 2021-2027 (PSNAI), all’“obiettivo 4: fa riferimento ad un </w:t>
      </w:r>
      <w:r w:rsidRPr="00FA2412">
        <w:rPr>
          <w:b/>
          <w:bCs/>
          <w:i/>
          <w:iCs/>
        </w:rPr>
        <w:t xml:space="preserve">“accompagnamento in un percorso di spopolamento </w:t>
      </w:r>
      <w:proofErr w:type="spellStart"/>
      <w:proofErr w:type="gramStart"/>
      <w:r w:rsidRPr="00FA2412">
        <w:rPr>
          <w:b/>
          <w:bCs/>
          <w:i/>
          <w:iCs/>
        </w:rPr>
        <w:t>irreversibile</w:t>
      </w:r>
      <w:r w:rsidRPr="00FA2412">
        <w:t>”aggiungendo</w:t>
      </w:r>
      <w:proofErr w:type="spellEnd"/>
      <w:proofErr w:type="gramEnd"/>
      <w:r w:rsidRPr="00FA2412">
        <w:t xml:space="preserve"> testualmente. “</w:t>
      </w:r>
      <w:r w:rsidRPr="00FA2412">
        <w:rPr>
          <w:b/>
          <w:bCs/>
          <w:i/>
          <w:iCs/>
        </w:rPr>
        <w:t xml:space="preserve">Queste aree non possono porsi alcun obiettivo di inversione di tendenza ma nemmeno essere abbandonate a </w:t>
      </w:r>
      <w:proofErr w:type="gramStart"/>
      <w:r w:rsidRPr="00FA2412">
        <w:rPr>
          <w:b/>
          <w:bCs/>
          <w:i/>
          <w:iCs/>
        </w:rPr>
        <w:t>se</w:t>
      </w:r>
      <w:proofErr w:type="gramEnd"/>
      <w:r w:rsidRPr="00FA2412">
        <w:rPr>
          <w:b/>
          <w:bCs/>
          <w:i/>
          <w:iCs/>
        </w:rPr>
        <w:t xml:space="preserve"> stesse. Hanno bisogno di un piano mirato che le accompagni in un percorso di cronicizzato declino e invecchiamento</w:t>
      </w:r>
      <w:r w:rsidRPr="00FA2412">
        <w:t xml:space="preserve">”; </w:t>
      </w:r>
    </w:p>
    <w:p w14:paraId="0E176AA6" w14:textId="77777777" w:rsidR="00FA2412" w:rsidRPr="00FA2412" w:rsidRDefault="00FA2412" w:rsidP="00FA2412">
      <w:r w:rsidRPr="00FA2412">
        <w:t xml:space="preserve">Lo Stato italiano, in barba agli enunciati principi costituzionali ed europei di democraticità, decentramento come espressione di sussidiarietà, pluralismo e democrazia diretta cui sono state ispirate le riforme degli ultimi 30 anni e le politiche comunitarie, individua formalmente aree che hanno una struttura demografica compromessa, con popolazione in forte declino e basse prospettive di sviluppo, negando ab origine che possano avere obiettivi di rilancio, senza rimeditare sull’efficacia di misure sin qui adottate in modo omogeneo per realtà diverse e senza una reale interlocuzione con i territori, speso bisognosi, più che di investimenti a pioggia, di misure di semplificazione e sostegno alla spesa, anche corrente per assicurare servizi essenziali; </w:t>
      </w:r>
    </w:p>
    <w:p w14:paraId="33630E70" w14:textId="77777777" w:rsidR="00FA2412" w:rsidRPr="00FA2412" w:rsidRDefault="00FA2412" w:rsidP="00FA2412">
      <w:r w:rsidRPr="00FA2412">
        <w:t xml:space="preserve">Le implicazioni economiche di una scelta così miope sono enormi: si accentueranno i flussi di famiglie verso i centri urbani già in collasso, si favoriranno bolle speculative e innalzamento dei prezzi con un aumento esponenziale dei casi di povertà ed emarginazione economico sociale e soprattutto abitativa e lavorativa, in un preoccupante regresso a condizioni che, probabilmente, sarà assimilabile solo a quelle degli inizi del secolo scorso; </w:t>
      </w:r>
    </w:p>
    <w:p w14:paraId="7A2DB800" w14:textId="77777777" w:rsidR="00FA2412" w:rsidRPr="00FA2412" w:rsidRDefault="00FA2412" w:rsidP="00FA2412">
      <w:r w:rsidRPr="00FA2412">
        <w:t xml:space="preserve">La polarizzazione tra città affollate e campagne abbandonate creerà un’Italia più povera, di risorse, servizi, condizioni, inclusione sociale e identità culturale, priva di condizioni di aggregazione, identificazione culturale, soggetta alla massificazione e omologazione nelle grandi aree della periferia urbana già così congestionate ( come a Roma, Milano, Genova, solo per citarne alcune); un’Italia a doppia velocità dove le periferie non sono più nemmeno oggetto di recupero, ma di progressivo avvio alla fine; </w:t>
      </w:r>
    </w:p>
    <w:p w14:paraId="46F8C59F" w14:textId="77777777" w:rsidR="00FA2412" w:rsidRPr="00FA2412" w:rsidRDefault="00FA2412" w:rsidP="00FA2412">
      <w:r w:rsidRPr="00FA2412">
        <w:t xml:space="preserve">Proprio in quei territori in cui ci sarebbero opportunità strategiche: agricoltura sostenibile, turismo lento, energie rinnovabili, coesione sociale, difesa idro-geologica gli esperti del CERSTE prevedono una scelta politica rinunciataria e di abbandono mentre nel resto d’Europa, dalla Francia ai Paesi nordici, le aree rurali sono oggetto di investimenti e valorizzazione, hanno rappresentanza istituzionale, accesso a fondi dedicati, programmi a lungo termine; </w:t>
      </w:r>
    </w:p>
    <w:p w14:paraId="50C234B6" w14:textId="77777777" w:rsidR="00FA2412" w:rsidRPr="00FA2412" w:rsidRDefault="00FA2412" w:rsidP="00FA2412">
      <w:r w:rsidRPr="00FA2412">
        <w:t xml:space="preserve">Mentre esplode la spesa militare, pari al 5% di Pil annuo, si annuncia una politica di resa verso le aree interne, non prevedendo quanto è di fatto prevedibile: emergenza sociale nelle cinte urbane periferiche al collasso, esplosione della speculazione economica in queste aree, esclusione economica delle fasce più deboli, compromissione delle possibilità di vita di nuovi nuclei familiari, </w:t>
      </w:r>
      <w:r w:rsidRPr="00FA2412">
        <w:lastRenderedPageBreak/>
        <w:t xml:space="preserve">fuga di cervelli e di nuove generazioni che non avranno possibilità di costruire né nei piccoli borghi interni né nelle metropoli congestionate; compromissione delle possibilità di accesso ai servizi non più assicurabili a tutti i nuovi utenti se concentrati nelle aree urbane; perdita della qualità della vita, della distribuzione equa e sostenibile di servizi pubblici in tutte le aree del Paese, perdita identitaria, culturale, </w:t>
      </w:r>
      <w:proofErr w:type="spellStart"/>
      <w:r w:rsidRPr="00FA2412">
        <w:t>econogastronomica</w:t>
      </w:r>
      <w:proofErr w:type="spellEnd"/>
      <w:r w:rsidRPr="00FA2412">
        <w:t xml:space="preserve"> ma anche ambientale; </w:t>
      </w:r>
    </w:p>
    <w:p w14:paraId="456CFCB0" w14:textId="77777777" w:rsidR="00FA2412" w:rsidRPr="00FA2412" w:rsidRDefault="00FA2412" w:rsidP="00FA2412">
      <w:r w:rsidRPr="00FA2412">
        <w:t xml:space="preserve">Secondo i dati </w:t>
      </w:r>
      <w:proofErr w:type="spellStart"/>
      <w:r w:rsidRPr="00FA2412">
        <w:rPr>
          <w:b/>
          <w:bCs/>
        </w:rPr>
        <w:t>OpenCivitas</w:t>
      </w:r>
      <w:proofErr w:type="spellEnd"/>
      <w:r w:rsidRPr="00FA2412">
        <w:rPr>
          <w:b/>
          <w:bCs/>
        </w:rPr>
        <w:t xml:space="preserve">, </w:t>
      </w:r>
      <w:r w:rsidRPr="00FA2412">
        <w:t xml:space="preserve">il 72% non raggiunge gli standard di spesa per trasporti, farmacie, viabilità, ma si tratta di costi necessari che, se da un lato impongono economie di scala ragionevoli secondo logiche di mercato, dall’altro lato richiedono l’intervento pubblico in un’ottica di sviluppo sostenibile fondante i valori basilari della democrazia, oltre i dati numerici; </w:t>
      </w:r>
    </w:p>
    <w:p w14:paraId="0126CC39" w14:textId="77777777" w:rsidR="00FA2412" w:rsidRPr="00FA2412" w:rsidRDefault="00FA2412" w:rsidP="00FA2412">
      <w:r w:rsidRPr="00FA2412">
        <w:t xml:space="preserve">Considerata dunque la necessità politica, sociale, culturale, economica di recuperare </w:t>
      </w:r>
      <w:r w:rsidRPr="00FA2412">
        <w:rPr>
          <w:b/>
          <w:bCs/>
        </w:rPr>
        <w:t>una visione umana dello spazio</w:t>
      </w:r>
      <w:r w:rsidRPr="00FA2412">
        <w:t xml:space="preserve">, capace di vedere nei territori fragili non un peso da tagliare, ma una ricchezza da custodire, in un’ottica di sviluppo sostenibile, qualità della vita, prospettiva possibile in un Paese che voglia dirsi civile </w:t>
      </w:r>
    </w:p>
    <w:p w14:paraId="487569D8" w14:textId="77777777" w:rsidR="00FA2412" w:rsidRDefault="00FA2412" w:rsidP="00FA2412">
      <w:pPr>
        <w:rPr>
          <w:b/>
          <w:bCs/>
        </w:rPr>
      </w:pPr>
      <w:r w:rsidRPr="00FA2412">
        <w:t xml:space="preserve">Condividendo l’idea che Paese che lascia morire i suoi borghi – a fortiori l’Italia che dei borghi è la Nazione per eccellenza - compia </w:t>
      </w:r>
      <w:r w:rsidRPr="00FA2412">
        <w:rPr>
          <w:b/>
          <w:bCs/>
        </w:rPr>
        <w:t xml:space="preserve">un atto di eutanasia culturale, sociale, politica, economica, intergenerazionale; </w:t>
      </w:r>
    </w:p>
    <w:p w14:paraId="6B249ABB" w14:textId="77777777" w:rsidR="00FA2412" w:rsidRPr="00FA2412" w:rsidRDefault="00FA2412" w:rsidP="00FA2412"/>
    <w:p w14:paraId="5B6A53B7" w14:textId="7B49419B" w:rsidR="00FA2412" w:rsidRPr="00FA2412" w:rsidRDefault="00FA2412" w:rsidP="00FA2412">
      <w:pPr>
        <w:jc w:val="center"/>
      </w:pPr>
      <w:r w:rsidRPr="00FA2412">
        <w:rPr>
          <w:b/>
          <w:bCs/>
        </w:rPr>
        <w:t>Richiamati:</w:t>
      </w:r>
    </w:p>
    <w:p w14:paraId="191A8D64" w14:textId="77777777" w:rsidR="00FA2412" w:rsidRPr="00FA2412" w:rsidRDefault="00FA2412" w:rsidP="00FA2412">
      <w:r w:rsidRPr="00FA2412">
        <w:rPr>
          <w:b/>
          <w:bCs/>
        </w:rPr>
        <w:t>L’art 3 della Costituzione che recita “</w:t>
      </w:r>
      <w:r w:rsidRPr="00FA2412">
        <w:t xml:space="preserve">Tutti i cittadini hanno pari dignità sociale e sono eguali davanti alla legge, senza distinzione di sesso, di razza, di lingua, di religione, di opinioni politiche, di condizioni personali e sociali. </w:t>
      </w:r>
      <w:proofErr w:type="gramStart"/>
      <w:r w:rsidRPr="00FA2412">
        <w:rPr>
          <w:b/>
          <w:bCs/>
          <w:i/>
          <w:iCs/>
        </w:rPr>
        <w:t>E`</w:t>
      </w:r>
      <w:proofErr w:type="gramEnd"/>
      <w:r w:rsidRPr="00FA2412">
        <w:rPr>
          <w:b/>
          <w:bCs/>
          <w:i/>
          <w:iCs/>
        </w:rPr>
        <w:t xml:space="preserve"> compito della Repubblica rimuovere gli ostacoli di ordine economico e sociale</w:t>
      </w:r>
      <w:r w:rsidRPr="00FA2412">
        <w:t xml:space="preserve">, che, limitando di fatto la libertà e l'eguaglianza dei cittadini, </w:t>
      </w:r>
      <w:r w:rsidRPr="00FA2412">
        <w:rPr>
          <w:b/>
          <w:bCs/>
          <w:i/>
          <w:iCs/>
        </w:rPr>
        <w:t xml:space="preserve">impediscono il pieno sviluppo della persona umana </w:t>
      </w:r>
      <w:r w:rsidRPr="00FA2412">
        <w:t xml:space="preserve">e l'effettiva partecipazione di tutti i lavoratori all'organizzazione politica, economica e sociale del Paese”; </w:t>
      </w:r>
    </w:p>
    <w:p w14:paraId="2AAEFD1C" w14:textId="77777777" w:rsidR="00FA2412" w:rsidRPr="00FA2412" w:rsidRDefault="00FA2412" w:rsidP="00FA2412">
      <w:r w:rsidRPr="00FA2412">
        <w:rPr>
          <w:b/>
          <w:bCs/>
        </w:rPr>
        <w:t>L’art. 118 della Costituzione che recita: “</w:t>
      </w:r>
      <w:r w:rsidRPr="00FA2412">
        <w:rPr>
          <w:i/>
          <w:iCs/>
        </w:rPr>
        <w:t xml:space="preserve">Le funzioni amministrative sono attribuite ai Comuni salvo che, per assicurarne l'esercizio unitario, siano conferite a Province, Città metropolitane, Regioni e Stato, sulla base dei princìpi di sussidiarietà, differenziazione ed adeguatezza(…)Stato, Regioni, Città metropolitane, Province e Comuni favoriscono l'autonoma iniziativa dei cittadini, singoli e associati, per lo svolgimento di attività di interesse generale, sulla base del principio di sussidiarietà”. </w:t>
      </w:r>
    </w:p>
    <w:p w14:paraId="1630F577" w14:textId="77777777" w:rsidR="00FA2412" w:rsidRPr="00FA2412" w:rsidRDefault="00FA2412" w:rsidP="00FA2412">
      <w:r w:rsidRPr="00FA2412">
        <w:t xml:space="preserve">L’art. 5 del Trattato CE </w:t>
      </w:r>
    </w:p>
    <w:p w14:paraId="6F4584FC" w14:textId="77777777" w:rsidR="00FA2412" w:rsidRPr="00FA2412" w:rsidRDefault="00FA2412" w:rsidP="00FA2412">
      <w:r w:rsidRPr="00FA2412">
        <w:t xml:space="preserve">L’art. 10 pa.3 del Trattato UE </w:t>
      </w:r>
    </w:p>
    <w:p w14:paraId="590B9E92" w14:textId="77777777" w:rsidR="00FA2412" w:rsidRPr="00FA2412" w:rsidRDefault="00FA2412" w:rsidP="00FA2412">
      <w:r w:rsidRPr="00FA2412">
        <w:t xml:space="preserve">La Sent. CGCE T.29/92 del 21.02.1995 ai sensi della quale il principio di sussidiarietà assurge a principio generale del diritto vincolante come sancito dal Consiglio Europeo di Edimburgo del 1992; </w:t>
      </w:r>
    </w:p>
    <w:p w14:paraId="2DCF3DF4" w14:textId="77777777" w:rsidR="00FA2412" w:rsidRPr="00FA2412" w:rsidRDefault="00FA2412" w:rsidP="00FA2412">
      <w:r w:rsidRPr="00FA2412">
        <w:t xml:space="preserve">L’art. 5 par. 3 del Trattato di Lisbona del 2007 ai cui sensi il principio di sussidiarietà estende il principio a livello regionale e locale interessando in tal senso i parlamenti nazionali; </w:t>
      </w:r>
    </w:p>
    <w:p w14:paraId="0288773C" w14:textId="77777777" w:rsidR="00FA2412" w:rsidRPr="00FA2412" w:rsidRDefault="00FA2412" w:rsidP="00FA2412">
      <w:r w:rsidRPr="00FA2412">
        <w:t xml:space="preserve">In considerazione dell’art. 42 che attribuisce agli Enti locali, per mezzo dei propri consigli comunali, quali organi democraticamente eletti dei cittadini e di essi espressione; </w:t>
      </w:r>
    </w:p>
    <w:p w14:paraId="4852F81C" w14:textId="77777777" w:rsidR="00FA2412" w:rsidRPr="00FA2412" w:rsidRDefault="00FA2412" w:rsidP="00FA2412">
      <w:r w:rsidRPr="00FA2412">
        <w:t xml:space="preserve">Dato atto che il presente provvedimento esprime un indirizzo di natura politica e non necessita dei pareri tecnico e contabile di cui all’art. 49 del TUEL; </w:t>
      </w:r>
    </w:p>
    <w:p w14:paraId="320536AC" w14:textId="4466C2AE" w:rsidR="00FA2412" w:rsidRDefault="00FA2412" w:rsidP="00FA2412">
      <w:pPr>
        <w:jc w:val="center"/>
        <w:rPr>
          <w:b/>
          <w:bCs/>
        </w:rPr>
      </w:pPr>
      <w:r w:rsidRPr="00FA2412">
        <w:rPr>
          <w:b/>
          <w:bCs/>
        </w:rPr>
        <w:t>Tutto quanto premesso</w:t>
      </w:r>
    </w:p>
    <w:p w14:paraId="18B70636" w14:textId="77777777" w:rsidR="00FA2412" w:rsidRDefault="00FA2412" w:rsidP="00FA2412">
      <w:pPr>
        <w:rPr>
          <w:b/>
          <w:bCs/>
        </w:rPr>
      </w:pPr>
    </w:p>
    <w:p w14:paraId="082FA76A" w14:textId="77777777" w:rsidR="00FA2412" w:rsidRPr="00FA2412" w:rsidRDefault="00FA2412" w:rsidP="00FA2412">
      <w:pPr>
        <w:jc w:val="center"/>
        <w:rPr>
          <w:b/>
          <w:bCs/>
        </w:rPr>
      </w:pPr>
    </w:p>
    <w:p w14:paraId="0D0F2F91" w14:textId="27363380" w:rsidR="00FA2412" w:rsidRPr="00FA2412" w:rsidRDefault="00FA2412" w:rsidP="00FA2412">
      <w:pPr>
        <w:jc w:val="center"/>
        <w:rPr>
          <w:sz w:val="32"/>
          <w:szCs w:val="32"/>
        </w:rPr>
      </w:pPr>
      <w:r w:rsidRPr="00FA2412">
        <w:rPr>
          <w:b/>
          <w:bCs/>
          <w:sz w:val="32"/>
          <w:szCs w:val="32"/>
        </w:rPr>
        <w:t>DELIBERA</w:t>
      </w:r>
    </w:p>
    <w:p w14:paraId="1AA0814E" w14:textId="24B2D372" w:rsidR="00FA2412" w:rsidRPr="00FA2412" w:rsidRDefault="00FA2412" w:rsidP="00FA2412">
      <w:pPr>
        <w:pStyle w:val="Paragrafoelenco"/>
        <w:numPr>
          <w:ilvl w:val="0"/>
          <w:numId w:val="5"/>
        </w:numPr>
      </w:pPr>
      <w:r w:rsidRPr="00FA2412">
        <w:t xml:space="preserve">Quanto in premessa è parte integrante e sostanziale della presente </w:t>
      </w:r>
      <w:r>
        <w:br/>
      </w:r>
    </w:p>
    <w:p w14:paraId="1A8D4695" w14:textId="5B815E06" w:rsidR="00FA2412" w:rsidRPr="00FA2412" w:rsidRDefault="00FA2412" w:rsidP="00FA2412">
      <w:pPr>
        <w:pStyle w:val="Paragrafoelenco"/>
        <w:numPr>
          <w:ilvl w:val="0"/>
          <w:numId w:val="5"/>
        </w:numPr>
      </w:pPr>
      <w:r w:rsidRPr="00FA2412">
        <w:t xml:space="preserve">Di esprimere atto di indirizzo al fine di sollecitare il Governo Nazionale e, per esso, il Dipartimento per Le politiche di Coesione e per il sud Presso la Presidenza del Consiglio dei Ministri, il CERSTE, il Ministero dell’Interno, il Ministero dell’Economia e delle Finanze, il Ministero per lo Sviluppo Economico, il Ministero delle Imprese e del Made in </w:t>
      </w:r>
      <w:proofErr w:type="spellStart"/>
      <w:r w:rsidRPr="00FA2412">
        <w:t>Italy</w:t>
      </w:r>
      <w:proofErr w:type="spellEnd"/>
      <w:r w:rsidRPr="00FA2412">
        <w:t xml:space="preserve">, il Ministero dell'Agricoltura, della Sovranità alimentare e delle Foreste, il Ministero dell'Ambiente e della Sicurezza energetica, il Ministero delle Infrastrutture e dei Trasporti, il Ministero del Lavoro e delle Politiche Sociali, il Ministero della Salute, il Ministero della Cultura, il Ministero del Turismo; la Conferenza Stato Città e la Conferenza unificata nonché ANCI e UPI, </w:t>
      </w:r>
      <w:proofErr w:type="spellStart"/>
      <w:r w:rsidRPr="00FA2412">
        <w:t>affinchè</w:t>
      </w:r>
      <w:proofErr w:type="spellEnd"/>
      <w:r w:rsidRPr="00FA2412">
        <w:t xml:space="preserve"> </w:t>
      </w:r>
    </w:p>
    <w:p w14:paraId="38D99347" w14:textId="00D3772A" w:rsidR="00FA2412" w:rsidRPr="00FA2412" w:rsidRDefault="00FA2412" w:rsidP="00FA2412">
      <w:pPr>
        <w:pStyle w:val="Paragrafoelenco"/>
        <w:numPr>
          <w:ilvl w:val="0"/>
          <w:numId w:val="4"/>
        </w:numPr>
      </w:pPr>
      <w:r>
        <w:t>v</w:t>
      </w:r>
      <w:r w:rsidRPr="00FA2412">
        <w:t xml:space="preserve">i sia una revisione delle politiche di rinuncia e disinvestimento sulle aree interne; </w:t>
      </w:r>
    </w:p>
    <w:p w14:paraId="0DF3D9C5" w14:textId="4B8F2A5F" w:rsidR="00FA2412" w:rsidRPr="00FA2412" w:rsidRDefault="00FA2412" w:rsidP="00FA2412">
      <w:pPr>
        <w:pStyle w:val="Paragrafoelenco"/>
        <w:numPr>
          <w:ilvl w:val="0"/>
          <w:numId w:val="4"/>
        </w:numPr>
      </w:pPr>
      <w:r w:rsidRPr="00FA2412">
        <w:t xml:space="preserve">siano avviati tavoli tecnici di effettiva analisi delle realtà delle aree interne e dei bisogni ferma la necessità di valorizzarne le potenzialità e favorirne il popolamento al fine di scongiurare l’impoverimento culturale, economico e sociale del Paese Italia; </w:t>
      </w:r>
    </w:p>
    <w:p w14:paraId="5EF61F46" w14:textId="7B6682B2" w:rsidR="00FA2412" w:rsidRPr="00FA2412" w:rsidRDefault="00FA2412" w:rsidP="00FA2412">
      <w:pPr>
        <w:pStyle w:val="Paragrafoelenco"/>
        <w:numPr>
          <w:ilvl w:val="0"/>
          <w:numId w:val="4"/>
        </w:numPr>
      </w:pPr>
      <w:r w:rsidRPr="00FA2412">
        <w:t xml:space="preserve">siano adottati con immediatezza gli atti necessari per stanziare già dalla legge di Bilancio 2026, le risorse necessarie per la compartecipazione alle politiche di sviluppo europee in favore delle aree interne; </w:t>
      </w:r>
      <w:r>
        <w:br/>
      </w:r>
    </w:p>
    <w:p w14:paraId="31AC1889" w14:textId="7FB152BC" w:rsidR="00615101" w:rsidRDefault="00FA2412" w:rsidP="00FA2412">
      <w:pPr>
        <w:pStyle w:val="Paragrafoelenco"/>
        <w:numPr>
          <w:ilvl w:val="0"/>
          <w:numId w:val="5"/>
        </w:numPr>
      </w:pPr>
      <w:r w:rsidRPr="00FA2412">
        <w:t>Di pubblicare la presente al fine di darne la massima diffusione e promozione su ogni possibile canale di comunicazione istituzionale e sulle piattaforme digitali più idonee</w:t>
      </w:r>
    </w:p>
    <w:sectPr w:rsidR="0061510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A4F"/>
    <w:multiLevelType w:val="hybridMultilevel"/>
    <w:tmpl w:val="796A76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B00301D"/>
    <w:multiLevelType w:val="hybridMultilevel"/>
    <w:tmpl w:val="F2CAEE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1C81DB8"/>
    <w:multiLevelType w:val="hybridMultilevel"/>
    <w:tmpl w:val="57608CB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DE2601"/>
    <w:multiLevelType w:val="hybridMultilevel"/>
    <w:tmpl w:val="327401E2"/>
    <w:lvl w:ilvl="0" w:tplc="75EC41A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7781B18"/>
    <w:multiLevelType w:val="hybridMultilevel"/>
    <w:tmpl w:val="3104E8E4"/>
    <w:lvl w:ilvl="0" w:tplc="75EC41A2">
      <w:numFmt w:val="bullet"/>
      <w:lvlText w:val="–"/>
      <w:lvlJc w:val="left"/>
      <w:pPr>
        <w:ind w:left="1068" w:hanging="360"/>
      </w:pPr>
      <w:rPr>
        <w:rFonts w:ascii="Aptos" w:eastAsiaTheme="minorHAnsi" w:hAnsi="Aptos" w:cstheme="minorBid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170026612">
    <w:abstractNumId w:val="1"/>
  </w:num>
  <w:num w:numId="2" w16cid:durableId="1062942509">
    <w:abstractNumId w:val="0"/>
  </w:num>
  <w:num w:numId="3" w16cid:durableId="449009340">
    <w:abstractNumId w:val="3"/>
  </w:num>
  <w:num w:numId="4" w16cid:durableId="1651136583">
    <w:abstractNumId w:val="4"/>
  </w:num>
  <w:num w:numId="5" w16cid:durableId="199366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12"/>
    <w:rsid w:val="002C5763"/>
    <w:rsid w:val="00305932"/>
    <w:rsid w:val="003936B0"/>
    <w:rsid w:val="00615101"/>
    <w:rsid w:val="008E2629"/>
    <w:rsid w:val="00FA241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0EB5"/>
  <w15:chartTrackingRefBased/>
  <w15:docId w15:val="{230D39E3-3E7F-4AD9-AFBB-395FCB1E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A24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A24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A241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A241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A241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A241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A241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A241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A241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A241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A241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A241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A241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A241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A241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A241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A241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A2412"/>
    <w:rPr>
      <w:rFonts w:eastAsiaTheme="majorEastAsia" w:cstheme="majorBidi"/>
      <w:color w:val="272727" w:themeColor="text1" w:themeTint="D8"/>
    </w:rPr>
  </w:style>
  <w:style w:type="paragraph" w:styleId="Titolo">
    <w:name w:val="Title"/>
    <w:basedOn w:val="Normale"/>
    <w:next w:val="Normale"/>
    <w:link w:val="TitoloCarattere"/>
    <w:uiPriority w:val="10"/>
    <w:qFormat/>
    <w:rsid w:val="00FA24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A241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A241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A241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A241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FA2412"/>
    <w:rPr>
      <w:i/>
      <w:iCs/>
      <w:color w:val="404040" w:themeColor="text1" w:themeTint="BF"/>
    </w:rPr>
  </w:style>
  <w:style w:type="paragraph" w:styleId="Paragrafoelenco">
    <w:name w:val="List Paragraph"/>
    <w:basedOn w:val="Normale"/>
    <w:uiPriority w:val="34"/>
    <w:qFormat/>
    <w:rsid w:val="00FA2412"/>
    <w:pPr>
      <w:ind w:left="720"/>
      <w:contextualSpacing/>
    </w:pPr>
  </w:style>
  <w:style w:type="character" w:styleId="Enfasiintensa">
    <w:name w:val="Intense Emphasis"/>
    <w:basedOn w:val="Carpredefinitoparagrafo"/>
    <w:uiPriority w:val="21"/>
    <w:qFormat/>
    <w:rsid w:val="00FA2412"/>
    <w:rPr>
      <w:i/>
      <w:iCs/>
      <w:color w:val="0F4761" w:themeColor="accent1" w:themeShade="BF"/>
    </w:rPr>
  </w:style>
  <w:style w:type="paragraph" w:styleId="Citazioneintensa">
    <w:name w:val="Intense Quote"/>
    <w:basedOn w:val="Normale"/>
    <w:next w:val="Normale"/>
    <w:link w:val="CitazioneintensaCarattere"/>
    <w:uiPriority w:val="30"/>
    <w:qFormat/>
    <w:rsid w:val="00FA24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A2412"/>
    <w:rPr>
      <w:i/>
      <w:iCs/>
      <w:color w:val="0F4761" w:themeColor="accent1" w:themeShade="BF"/>
    </w:rPr>
  </w:style>
  <w:style w:type="character" w:styleId="Riferimentointenso">
    <w:name w:val="Intense Reference"/>
    <w:basedOn w:val="Carpredefinitoparagrafo"/>
    <w:uiPriority w:val="32"/>
    <w:qFormat/>
    <w:rsid w:val="00FA24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2322</Words>
  <Characters>13241</Characters>
  <Application>Microsoft Office Word</Application>
  <DocSecurity>0</DocSecurity>
  <Lines>110</Lines>
  <Paragraphs>31</Paragraphs>
  <ScaleCrop>false</ScaleCrop>
  <Company/>
  <LinksUpToDate>false</LinksUpToDate>
  <CharactersWithSpaces>15532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Ferrari</dc:creator>
  <cp:keywords/>
  <dc:description/>
  <cp:lastModifiedBy>Davide Ferrari</cp:lastModifiedBy>
  <cp:revision>1</cp:revision>
  <dcterms:created xsi:type="dcterms:W3CDTF">2025-07-07T14:30:00Z</dcterms:created>
  <dcterms:modified xsi:type="dcterms:W3CDTF">2025-07-07T14:34:00Z</dcterms:modified>
</cp:coreProperties>
</file>